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63827" w14:textId="2D615E71" w:rsidR="00C80B46" w:rsidRDefault="00E96DBF" w:rsidP="00E96DBF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E96DB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Schneider Electric vydává první plán optimalizace datových center, který řeší možnosti využití umělé inteligence</w:t>
      </w:r>
    </w:p>
    <w:p w14:paraId="04CBE68D" w14:textId="77777777" w:rsidR="00E96DBF" w:rsidRPr="001C39B2" w:rsidRDefault="00E96DBF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7FD9BE4B" w14:textId="64AC039B" w:rsidR="00E96DBF" w:rsidRPr="00E96DBF" w:rsidRDefault="00E96DBF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  <w:r w:rsidRPr="00E96DB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685EBC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6B0459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31</w:t>
      </w:r>
      <w:r w:rsidRPr="00E96DB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října 2023 – Společnost Schneider Electric, </w:t>
      </w:r>
      <w:r w:rsidR="00C01B81" w:rsidRPr="00C01B81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globální lídr v oblasti digitální transformace, průmyslové automatizace a řízení energií</w:t>
      </w:r>
      <w:r w:rsidRPr="00E96DBF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, vydala vůbec první oborovou příručku pro řešení nových výzev v oblasti návrhu fyzické infrastruktury datových center pro podporu zátěže související s využitím umělé inteligence (AI), která představuje zlatý standard pro návrh datových center optimalizovaných pro AI.</w:t>
      </w:r>
    </w:p>
    <w:p w14:paraId="2804470C" w14:textId="77BE485E" w:rsidR="00E96DBF" w:rsidRPr="00A833AC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Schneider Electric má dlouhodobě vedoucí postavení v oblasti vývoje infrastruktury datových center a potvrzuje to i nyní – vydáním dokumentu White Paper 110 s názvem „</w:t>
      </w:r>
      <w:hyperlink r:id="rId11" w:history="1">
        <w:r>
          <w:rPr>
            <w:rStyle w:val="Hypertextovodkaz"/>
            <w:rFonts w:ascii="Arial" w:hAnsi="Arial"/>
            <w:sz w:val="20"/>
            <w:szCs w:val="20"/>
          </w:rPr>
          <w:t>The AI Disruption:</w:t>
        </w:r>
      </w:hyperlink>
      <w:hyperlink r:id="rId12" w:history="1">
        <w:r>
          <w:rPr>
            <w:rStyle w:val="Hypertextovodkaz"/>
            <w:rFonts w:ascii="Arial" w:hAnsi="Arial"/>
            <w:sz w:val="20"/>
            <w:szCs w:val="20"/>
          </w:rPr>
          <w:t xml:space="preserve"> Challenges and Guidance for Data Center Design</w:t>
        </w:r>
      </w:hyperlink>
      <w:r>
        <w:rPr>
          <w:rFonts w:ascii="Arial" w:hAnsi="Arial"/>
          <w:color w:val="000000"/>
          <w:sz w:val="20"/>
          <w:szCs w:val="20"/>
        </w:rPr>
        <w:t>“, který slouží jako komplexní plán společnostem, jež chtějí využít potenciál umělé inteligence ve svých datových centrech. Zaměřuje se také na nové technologie, které budou v budoucnu podporovat klastry s vysokou hustotou umělé inteligence.</w:t>
      </w:r>
    </w:p>
    <w:p w14:paraId="472657B9" w14:textId="34C0CA1C" w:rsidR="00E96DBF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  <w:highlight w:val="white"/>
        </w:rPr>
        <w:t xml:space="preserve">Revoluce v oboru umělé inteligence přinesla </w:t>
      </w:r>
      <w:r w:rsidR="001C5D17">
        <w:rPr>
          <w:rFonts w:ascii="Arial" w:hAnsi="Arial"/>
          <w:color w:val="000000"/>
          <w:sz w:val="20"/>
          <w:szCs w:val="20"/>
          <w:highlight w:val="white"/>
        </w:rPr>
        <w:t xml:space="preserve">do provozu datových center </w:t>
      </w:r>
      <w:r>
        <w:rPr>
          <w:rFonts w:ascii="Arial" w:hAnsi="Arial"/>
          <w:color w:val="000000"/>
          <w:sz w:val="20"/>
          <w:szCs w:val="20"/>
          <w:highlight w:val="white"/>
        </w:rPr>
        <w:t xml:space="preserve">významné změny a výzvy. Aplikace umělé inteligence jsou stále rozšířenější a mají stále větší dopad na různá průmyslová odvětví 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>
        <w:rPr>
          <w:rFonts w:ascii="Arial" w:hAnsi="Arial"/>
          <w:color w:val="000000"/>
          <w:sz w:val="20"/>
          <w:szCs w:val="20"/>
          <w:highlight w:val="white"/>
        </w:rPr>
        <w:t xml:space="preserve"> od zdravotnictví a financí až po výrobu, dopravu a zábavní průmysl</w:t>
      </w:r>
      <w:r w:rsidR="001C5D17">
        <w:rPr>
          <w:rFonts w:ascii="Arial" w:hAnsi="Arial"/>
          <w:color w:val="000000"/>
          <w:sz w:val="20"/>
          <w:szCs w:val="20"/>
          <w:highlight w:val="white"/>
        </w:rPr>
        <w:t>, s</w:t>
      </w:r>
      <w:r>
        <w:rPr>
          <w:rFonts w:ascii="Arial" w:hAnsi="Arial"/>
          <w:color w:val="000000"/>
          <w:sz w:val="20"/>
          <w:szCs w:val="20"/>
          <w:highlight w:val="white"/>
        </w:rPr>
        <w:t xml:space="preserve"> čímž roste i poptávka po výpočetním výkonu. Aby datová centra tyto rostoucí nároky aplikací umělé inteligence uspokojila, musí se přizpůsobit.</w:t>
      </w:r>
      <w:r>
        <w:rPr>
          <w:rFonts w:ascii="Arial" w:hAnsi="Arial"/>
          <w:color w:val="000000"/>
          <w:sz w:val="20"/>
          <w:szCs w:val="20"/>
        </w:rPr>
        <w:t xml:space="preserve"> </w:t>
      </w:r>
    </w:p>
    <w:p w14:paraId="25002F2C" w14:textId="029597FA" w:rsidR="00E96DBF" w:rsidRPr="00202CBD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Arial" w:hAnsi="Arial"/>
          <w:color w:val="000000"/>
          <w:sz w:val="20"/>
          <w:szCs w:val="20"/>
        </w:rPr>
      </w:pPr>
      <w:r w:rsidRPr="00D36750">
        <w:rPr>
          <w:rFonts w:ascii="Arial" w:hAnsi="Arial"/>
          <w:i/>
          <w:iCs/>
          <w:color w:val="000000"/>
          <w:sz w:val="20"/>
          <w:szCs w:val="20"/>
        </w:rPr>
        <w:t xml:space="preserve">„Rozvoj </w:t>
      </w:r>
      <w:r w:rsidR="005A01CC">
        <w:rPr>
          <w:rFonts w:ascii="Arial" w:hAnsi="Arial"/>
          <w:i/>
          <w:iCs/>
          <w:color w:val="000000"/>
          <w:sz w:val="20"/>
          <w:szCs w:val="20"/>
        </w:rPr>
        <w:t>umělé inteligence</w:t>
      </w:r>
      <w:r w:rsidRPr="00D36750">
        <w:rPr>
          <w:rFonts w:ascii="Arial" w:hAnsi="Arial"/>
          <w:i/>
          <w:iCs/>
          <w:color w:val="000000"/>
          <w:sz w:val="20"/>
          <w:szCs w:val="20"/>
        </w:rPr>
        <w:t xml:space="preserve"> klade vysoké nároky na návrh a řízení datových center a v této souvislosti je důležité zohlednit několik klíčových atributů a trendů AI zátěže, které ovlivňují nová i stávající datová centra,“</w:t>
      </w:r>
      <w:r>
        <w:rPr>
          <w:rFonts w:ascii="Arial" w:hAnsi="Arial"/>
          <w:color w:val="000000"/>
          <w:sz w:val="20"/>
          <w:szCs w:val="20"/>
        </w:rPr>
        <w:t xml:space="preserve"> uvádí Pankaj Sharma, výkonný viceprezident divize Secure Power společnosti Schneider Electric. </w:t>
      </w:r>
      <w:r w:rsidRPr="00D36750">
        <w:rPr>
          <w:rFonts w:ascii="Arial" w:hAnsi="Arial"/>
          <w:i/>
          <w:iCs/>
          <w:color w:val="000000"/>
          <w:sz w:val="20"/>
          <w:szCs w:val="20"/>
        </w:rPr>
        <w:t>„Trh s umělou inteligencí se rychle rozvíjí a my věříme, že se stane základní technologií pro podniky, která jim umožní rychleji dosahovat výsledků a výrazně zvýšit produktivitu,“</w:t>
      </w:r>
      <w:r>
        <w:rPr>
          <w:rFonts w:ascii="Arial" w:hAnsi="Arial"/>
          <w:color w:val="000000"/>
          <w:sz w:val="20"/>
          <w:szCs w:val="20"/>
        </w:rPr>
        <w:t xml:space="preserve"> uvedl Evan Sparks, produktový ředitel pro umělou inteligenci společnosti Hewlett Packard Enterprise.</w:t>
      </w:r>
    </w:p>
    <w:p w14:paraId="131E7218" w14:textId="0B8787A8" w:rsidR="00E96DBF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3DCD58"/>
          <w:sz w:val="20"/>
          <w:szCs w:val="20"/>
        </w:rPr>
      </w:pPr>
      <w:r>
        <w:rPr>
          <w:rFonts w:ascii="Arial" w:hAnsi="Arial"/>
          <w:b/>
          <w:color w:val="3DCD58"/>
          <w:sz w:val="20"/>
          <w:szCs w:val="20"/>
        </w:rPr>
        <w:t xml:space="preserve">Schneider Electric ukazuje budoucnost </w:t>
      </w:r>
      <w:r w:rsidR="001C5D17">
        <w:rPr>
          <w:rFonts w:ascii="Arial" w:hAnsi="Arial"/>
          <w:b/>
          <w:color w:val="3DCD58"/>
          <w:sz w:val="20"/>
          <w:szCs w:val="20"/>
        </w:rPr>
        <w:t xml:space="preserve">návrhu </w:t>
      </w:r>
      <w:r>
        <w:rPr>
          <w:rFonts w:ascii="Arial" w:hAnsi="Arial"/>
          <w:b/>
          <w:color w:val="3DCD58"/>
          <w:sz w:val="20"/>
          <w:szCs w:val="20"/>
        </w:rPr>
        <w:t>datových center</w:t>
      </w:r>
    </w:p>
    <w:p w14:paraId="120BC4A9" w14:textId="77777777" w:rsidR="00E96DBF" w:rsidRPr="00D36750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3DCD58"/>
          <w:sz w:val="20"/>
          <w:szCs w:val="20"/>
        </w:rPr>
      </w:pPr>
      <w:r>
        <w:rPr>
          <w:rFonts w:ascii="Arial" w:hAnsi="Arial"/>
          <w:sz w:val="20"/>
          <w:szCs w:val="20"/>
        </w:rPr>
        <w:t>Předpokládá se, že zátěže spojené s umělou inteligencí porostou do roku 2028 složenou roční mírou růstu (CAGR) 26</w:t>
      </w:r>
      <w:r w:rsidRPr="00B970FE">
        <w:rPr>
          <w:rFonts w:ascii="Arial" w:hAnsi="Arial"/>
          <w:sz w:val="20"/>
          <w:szCs w:val="20"/>
        </w:rPr>
        <w:t>–</w:t>
      </w:r>
      <w:r>
        <w:rPr>
          <w:rFonts w:ascii="Arial" w:hAnsi="Arial"/>
          <w:sz w:val="20"/>
          <w:szCs w:val="20"/>
        </w:rPr>
        <w:t xml:space="preserve">36 %, což zvýší nároky na napájení ve stávajících i nových datových centrech. Obsluha této předpokládané energetické náročnosti zahrnuje několik klíčových aspektů popsaných v dokumentu White Paper 110, která se zabývá čtyřmi kategoriemi fyzické infrastruktury – napájením, chlazením, stojany a softwarovými nástroji. Dokument White Paper 110 je v plném znění k dispozici ke stažení </w:t>
      </w:r>
      <w:hyperlink r:id="rId13" w:history="1">
        <w:r>
          <w:rPr>
            <w:rStyle w:val="Hypertextovodkaz"/>
            <w:rFonts w:ascii="Arial" w:hAnsi="Arial"/>
            <w:sz w:val="20"/>
            <w:szCs w:val="20"/>
          </w:rPr>
          <w:t>zde</w:t>
        </w:r>
      </w:hyperlink>
      <w:r>
        <w:rPr>
          <w:rFonts w:ascii="Arial" w:hAnsi="Arial"/>
          <w:sz w:val="20"/>
          <w:szCs w:val="20"/>
        </w:rPr>
        <w:t xml:space="preserve">. </w:t>
      </w:r>
    </w:p>
    <w:p w14:paraId="688434E0" w14:textId="59EB2EC4" w:rsidR="00E96DBF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V době, kdy umělá inteligence mění podobu průmyslových odvětví a konkurenceschopnosti, otevírá tento dokument společnosti Schneider Electric podnikům cestu, jak navrhnout datová centra, která budou nejen schopna podporovat umělou inteligenci, ale budou pro ni i plně přizpůsobena. </w:t>
      </w:r>
    </w:p>
    <w:p w14:paraId="32ED5908" w14:textId="55EBED60" w:rsidR="00E96DBF" w:rsidRPr="00D36750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36750">
        <w:rPr>
          <w:rFonts w:ascii="Arial" w:hAnsi="Arial"/>
          <w:i/>
          <w:iCs/>
          <w:color w:val="000000"/>
          <w:sz w:val="20"/>
          <w:szCs w:val="20"/>
        </w:rPr>
        <w:t>„AI aplikace, zejména tréninkové klastry, jsou vysoce náročné na výpočetní výkon a vyžadují velké množství výpočetního výkonu, který poskytují GPU nebo specializované AI akcelerátory. To zatěžuje napájecí a chladicí infrastrukturu datových center. A protože náklady na energii stejně jako obavy o životní prostředí rostou, musí se datová centra zaměřit na energeticky účinný hardware, jako jsou vysoce efektivní napájecí a chladicí systémy, a obnovitelné zdroje energie, které pomohou snížit provozní náklady a uhlíkovou stopu</w:t>
      </w:r>
      <w:r>
        <w:rPr>
          <w:rFonts w:ascii="Arial" w:hAnsi="Arial"/>
          <w:i/>
          <w:iCs/>
          <w:color w:val="000000"/>
          <w:sz w:val="20"/>
          <w:szCs w:val="20"/>
        </w:rPr>
        <w:t>,</w:t>
      </w:r>
      <w:r w:rsidRPr="00D36750">
        <w:rPr>
          <w:rFonts w:ascii="Arial" w:hAnsi="Arial"/>
          <w:i/>
          <w:iCs/>
          <w:color w:val="000000"/>
          <w:sz w:val="20"/>
          <w:szCs w:val="20"/>
        </w:rPr>
        <w:t xml:space="preserve">“ </w:t>
      </w:r>
      <w:r>
        <w:rPr>
          <w:rFonts w:ascii="Arial" w:hAnsi="Arial"/>
          <w:color w:val="000000"/>
          <w:sz w:val="20"/>
          <w:szCs w:val="20"/>
        </w:rPr>
        <w:t>doplňuje Pankaj Sharma</w:t>
      </w:r>
      <w:r w:rsidR="001C50D4">
        <w:rPr>
          <w:rFonts w:ascii="Arial" w:hAnsi="Arial"/>
          <w:color w:val="000000"/>
          <w:sz w:val="20"/>
          <w:szCs w:val="20"/>
        </w:rPr>
        <w:t xml:space="preserve"> ze Schneider Electric.</w:t>
      </w:r>
    </w:p>
    <w:p w14:paraId="567D51B6" w14:textId="270B2687" w:rsidR="00E96DBF" w:rsidRPr="00D36750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D36750">
        <w:rPr>
          <w:rFonts w:ascii="Arial" w:hAnsi="Arial"/>
          <w:i/>
          <w:iCs/>
          <w:color w:val="000000"/>
          <w:sz w:val="20"/>
          <w:szCs w:val="20"/>
        </w:rPr>
        <w:lastRenderedPageBreak/>
        <w:t>„S tím, jak se umělá inteligence stává dominantní pracovní zátěží v datových centrech, musí organizace začít cíleně přemýšlet o návrhu celého systému zohledňujícího požadavky umělé inteligence. Již nyní zaznamenáváme masivní poptávku po AI akcelerátorech, ale vyvážení této poptávky správnou úrovní výpočetní a úložné kapacity a efektivní využití systémů tohoto rozsahu vyžaduje dobře navržené softwarové platformy. Podniky by se měly zaměřit na řešení, jako je specializovaný software pro vývoj strojového učení a správu dat, který poskytuje přehled o využívání dat a zajišťuje jejich bezpečnost a spolehlivost ještě před nasazením. Společně s implementací komplexních řešení pro datová centra, která jsou navržena tak, aby poskytovala udržitelnou výpočetní kapacitu, můžeme našim zákazníkům umožnit úspěšně a odpovědně navrhovat a nasazovat umělou inteligenci</w:t>
      </w:r>
      <w:r>
        <w:rPr>
          <w:rFonts w:ascii="Arial" w:hAnsi="Arial"/>
          <w:i/>
          <w:iCs/>
          <w:color w:val="000000"/>
          <w:sz w:val="20"/>
          <w:szCs w:val="20"/>
        </w:rPr>
        <w:t>,</w:t>
      </w:r>
      <w:r w:rsidRPr="00D36750">
        <w:rPr>
          <w:rFonts w:ascii="Arial" w:hAnsi="Arial"/>
          <w:i/>
          <w:iCs/>
          <w:color w:val="000000"/>
          <w:sz w:val="20"/>
          <w:szCs w:val="20"/>
        </w:rPr>
        <w:t>“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dodává Evan Sparks</w:t>
      </w:r>
      <w:r w:rsidR="001C50D4">
        <w:rPr>
          <w:rFonts w:ascii="Arial" w:hAnsi="Arial"/>
          <w:color w:val="000000"/>
          <w:sz w:val="20"/>
          <w:szCs w:val="20"/>
        </w:rPr>
        <w:t xml:space="preserve"> ze společnosti Hewlett Packard Enterprise.</w:t>
      </w:r>
    </w:p>
    <w:p w14:paraId="20B489BD" w14:textId="77777777" w:rsidR="00E96DBF" w:rsidRPr="00D36750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i/>
          <w:iCs/>
          <w:color w:val="000000"/>
          <w:sz w:val="20"/>
          <w:szCs w:val="20"/>
        </w:rPr>
      </w:pPr>
    </w:p>
    <w:p w14:paraId="60EE4162" w14:textId="5F4A8BCC" w:rsidR="001C5D17" w:rsidRDefault="001C5D17" w:rsidP="001C5D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3DCD58"/>
          <w:sz w:val="20"/>
          <w:szCs w:val="20"/>
        </w:rPr>
      </w:pPr>
      <w:r>
        <w:rPr>
          <w:rFonts w:ascii="Arial" w:hAnsi="Arial"/>
          <w:b/>
          <w:color w:val="3DCD58"/>
          <w:sz w:val="20"/>
          <w:szCs w:val="20"/>
        </w:rPr>
        <w:t>V</w:t>
      </w:r>
      <w:r w:rsidR="00E96DBF">
        <w:rPr>
          <w:rFonts w:ascii="Arial" w:hAnsi="Arial"/>
          <w:b/>
          <w:color w:val="3DCD58"/>
          <w:sz w:val="20"/>
          <w:szCs w:val="20"/>
        </w:rPr>
        <w:t>yužití potenciálu umělé inteligence</w:t>
      </w:r>
    </w:p>
    <w:p w14:paraId="3D9F50F0" w14:textId="6CE32423" w:rsidR="00E96DBF" w:rsidRPr="001C5D17" w:rsidRDefault="00E96DBF" w:rsidP="001C5D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3DCD58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Příručka Schneider Electric pro datová centra připravená na využití AI zkoumá kritické průsečíky umělé inteligence a infrastruktury datových center a obsahuje pokyny a doporučení pro klíčové oblasti, jako například:</w:t>
      </w:r>
    </w:p>
    <w:p w14:paraId="23F0EBAB" w14:textId="77777777" w:rsidR="00E96DBF" w:rsidRDefault="00E96DBF" w:rsidP="00E96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Doporučení pro čtyři klíčové atributy a trendy umělé inteligence řešící výzvy fyzické infrastruktury v oblasti napájení, chlazení, stojanů a řídicího softwaru.</w:t>
      </w:r>
    </w:p>
    <w:p w14:paraId="6C8DC8D9" w14:textId="77777777" w:rsidR="00E96DBF" w:rsidRPr="00470E57" w:rsidRDefault="00E96DBF" w:rsidP="00E96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Doporučení pro posuzování a podporu stojanů s extrémní hustotou výkonu pro tréninkové servery AI. </w:t>
      </w:r>
    </w:p>
    <w:p w14:paraId="165F22D9" w14:textId="77777777" w:rsidR="00E96DBF" w:rsidRDefault="00E96DBF" w:rsidP="00E96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Pokyny pro zajištění úspěšného přechodu ze vzduchového chlazení na chlazení kapalinou pro podporu rostoucího návrhového tepelného výkonu (TDP) AI zátěží. </w:t>
      </w:r>
    </w:p>
    <w:p w14:paraId="5AC8959A" w14:textId="77777777" w:rsidR="00E96DBF" w:rsidRDefault="00E96DBF" w:rsidP="00E96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Navrhované specifikace stojanů pro lepší přizpůsobení AI serverům, které vyžadují vysoký výkon, chladicí rozvody a potrubí a velký počet síťových kabelů.</w:t>
      </w:r>
    </w:p>
    <w:p w14:paraId="5C202CAE" w14:textId="77777777" w:rsidR="00E96DBF" w:rsidRDefault="00E96DBF" w:rsidP="00E96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Pokyny k používání softwaru pro správu infrastruktury datového centra (DCIM), systémů řízení elektrické energie (EPMS) a řídicích systémů budov (BMS) pro vytváření digitálních dvojčat datového centra, provoz a správu zařízení.  </w:t>
      </w:r>
    </w:p>
    <w:p w14:paraId="595EF317" w14:textId="77777777" w:rsidR="00E96DBF" w:rsidRDefault="00E96DBF" w:rsidP="00E96DB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Přehled budoucích technologií a přístupů k návrhu, které pomohou řešit vývoj umělé inteligence.</w:t>
      </w:r>
    </w:p>
    <w:p w14:paraId="2AA09811" w14:textId="77777777" w:rsidR="00E96DBF" w:rsidRPr="00371967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bCs/>
          <w:color w:val="00B050"/>
          <w:sz w:val="20"/>
          <w:szCs w:val="20"/>
        </w:rPr>
      </w:pPr>
    </w:p>
    <w:p w14:paraId="6DF68E6D" w14:textId="77777777" w:rsidR="00E96DBF" w:rsidRPr="00470E57" w:rsidRDefault="00E96DBF" w:rsidP="00E96DB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Další informace o řešeních a postupech společnosti Schneider Electric v oblasti datových center pro umělou inteligenci naleznete na </w:t>
      </w:r>
      <w:hyperlink r:id="rId14" w:history="1">
        <w:r>
          <w:rPr>
            <w:rStyle w:val="Hypertextovodkaz"/>
            <w:rFonts w:ascii="Arial" w:hAnsi="Arial"/>
            <w:sz w:val="20"/>
            <w:szCs w:val="20"/>
          </w:rPr>
          <w:t>Schneider Electric</w:t>
        </w:r>
      </w:hyperlink>
      <w:r>
        <w:rPr>
          <w:rFonts w:ascii="Arial" w:hAnsi="Arial"/>
          <w:color w:val="000000"/>
          <w:sz w:val="20"/>
          <w:szCs w:val="20"/>
        </w:rPr>
        <w:t>.</w:t>
      </w:r>
    </w:p>
    <w:p w14:paraId="1EE588E9" w14:textId="77777777" w:rsidR="00E96DBF" w:rsidRDefault="00E96DBF" w:rsidP="00E96DBF"/>
    <w:p w14:paraId="2D4B12FC" w14:textId="77777777" w:rsidR="00E96DBF" w:rsidRDefault="00E96DBF" w:rsidP="00E96DBF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342417F4" w14:textId="77777777" w:rsidR="00E96DBF" w:rsidRDefault="00E96DBF" w:rsidP="00E96DBF">
      <w:pPr>
        <w:jc w:val="both"/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energie a dostupné zdroje, proto přinášíme inovace a udržitelnost do všech oblastí života. Říkáme tomu Life Is On. Naším posláním je být vaším digitálním partnerem ve sférách udržitelnosti a energetické efektivnosti. Pomocí integrace procesů a energetických technologií podporujeme digitální transformaci od koncového bodu až po cloud, včetně produktů ovládacích prvků, softwarů a služeb. Naše řešení umožňují integrovaná řízení firem, domácností, budov, datových center, infrastruktury a průmyslu. Schneider Electric prosazuje otevřené standardy a partnerské ekosystémy, které jsou založené na sdíleném smysluplném účelu, podporujícím integraci a jejich hodnoty.</w:t>
      </w:r>
    </w:p>
    <w:p w14:paraId="5D72471D" w14:textId="77777777" w:rsidR="008B7895" w:rsidRDefault="008B7895" w:rsidP="007A1175">
      <w:pPr>
        <w:widowControl w:val="0"/>
        <w:suppressAutoHyphens w:val="0"/>
        <w:textAlignment w:val="center"/>
      </w:pPr>
    </w:p>
    <w:p w14:paraId="19AF05C8" w14:textId="0302D093" w:rsidR="007A1175" w:rsidRPr="007A1175" w:rsidRDefault="00000000" w:rsidP="007A1175">
      <w:pPr>
        <w:widowControl w:val="0"/>
        <w:suppressAutoHyphens w:val="0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5" w:history="1">
        <w:r w:rsidR="00965504" w:rsidRPr="007F0761">
          <w:rPr>
            <w:rStyle w:val="Hypertextovodkaz"/>
            <w:rFonts w:ascii="Arial" w:hAnsi="Arial" w:cs="Arial"/>
            <w:sz w:val="20"/>
            <w:szCs w:val="20"/>
            <w:lang w:val="cs-CZ"/>
          </w:rPr>
          <w:t>https://www.se.com/cz/cs/</w:t>
        </w:r>
      </w:hyperlink>
    </w:p>
    <w:p w14:paraId="6A7D9089" w14:textId="152ECC9C" w:rsidR="007A1175" w:rsidRPr="00F375DE" w:rsidRDefault="007A1175" w:rsidP="007A1175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6E1ED187" w14:textId="3F6C40A2" w:rsidR="007A1175" w:rsidRPr="00F375DE" w:rsidRDefault="007A1175" w:rsidP="007A1175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9FF7641" wp14:editId="60C097D8">
            <wp:simplePos x="0" y="0"/>
            <wp:positionH relativeFrom="column">
              <wp:posOffset>14605</wp:posOffset>
            </wp:positionH>
            <wp:positionV relativeFrom="paragraph">
              <wp:posOffset>19050</wp:posOffset>
            </wp:positionV>
            <wp:extent cx="1511300" cy="304800"/>
            <wp:effectExtent l="0" t="0" r="0" b="0"/>
            <wp:wrapThrough wrapText="bothSides">
              <wp:wrapPolygon edited="0">
                <wp:start x="545" y="0"/>
                <wp:lineTo x="0" y="2700"/>
                <wp:lineTo x="0" y="16200"/>
                <wp:lineTo x="545" y="20250"/>
                <wp:lineTo x="18787" y="20250"/>
                <wp:lineTo x="19876" y="13500"/>
                <wp:lineTo x="19876" y="6750"/>
                <wp:lineTo x="18787" y="0"/>
                <wp:lineTo x="545" y="0"/>
              </wp:wrapPolygon>
            </wp:wrapThrough>
            <wp:docPr id="3" name="Obrázek 18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90841" w14:textId="77777777" w:rsidR="007A1175" w:rsidRPr="00F375DE" w:rsidRDefault="007A1175" w:rsidP="007A1175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059E61C9" w14:textId="77777777" w:rsidR="007A1175" w:rsidRPr="00F375DE" w:rsidRDefault="007A1175" w:rsidP="007A1175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81A0A07" w14:textId="77777777" w:rsidR="007A1175" w:rsidRPr="00E17F89" w:rsidRDefault="007A1175" w:rsidP="007A1175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3B4E247" wp14:editId="0D59A473">
            <wp:extent cx="241300" cy="241300"/>
            <wp:effectExtent l="0" t="0" r="0" b="0"/>
            <wp:docPr id="4" name="Obrázek 17" descr="twitter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43067D69" wp14:editId="6B05F05F">
            <wp:extent cx="241300" cy="241300"/>
            <wp:effectExtent l="0" t="0" r="0" b="0"/>
            <wp:docPr id="5" name="Obrázek 16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DE35470" wp14:editId="752B2420">
            <wp:extent cx="241300" cy="241300"/>
            <wp:effectExtent l="0" t="0" r="0" b="0"/>
            <wp:docPr id="6" name="Obrázek 1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1315DEDB" wp14:editId="49133B85">
            <wp:extent cx="241300" cy="241300"/>
            <wp:effectExtent l="0" t="0" r="6350" b="6350"/>
            <wp:docPr id="7" name="Obrázek 14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1DF2D7E" wp14:editId="69E0FBE2">
            <wp:extent cx="234950" cy="234950"/>
            <wp:effectExtent l="0" t="0" r="0" b="0"/>
            <wp:docPr id="8" name="Obrázek 13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772C0762" wp14:editId="6F243C3A">
            <wp:extent cx="234950" cy="234950"/>
            <wp:effectExtent l="0" t="0" r="0" b="0"/>
            <wp:docPr id="9" name="Obrázek 4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E7B9C" w14:textId="77777777" w:rsidR="007A1175" w:rsidRPr="00204231" w:rsidRDefault="007A1175" w:rsidP="007A1175">
      <w:pPr>
        <w:rPr>
          <w:rFonts w:ascii="Arial" w:hAnsi="Arial" w:cs="Arial"/>
          <w:noProof/>
          <w:sz w:val="20"/>
          <w:szCs w:val="20"/>
          <w:lang w:eastAsia="en-US"/>
        </w:rPr>
      </w:pPr>
    </w:p>
    <w:p w14:paraId="6628D31B" w14:textId="77777777" w:rsidR="007A1175" w:rsidRPr="00204231" w:rsidRDefault="007A1175" w:rsidP="007A1175">
      <w:pPr>
        <w:pStyle w:val="Odstavecseseznamem"/>
        <w:widowControl w:val="0"/>
        <w:autoSpaceDE w:val="0"/>
        <w:autoSpaceDN w:val="0"/>
        <w:adjustRightInd w:val="0"/>
        <w:textAlignment w:val="center"/>
        <w:rPr>
          <w:rFonts w:ascii="Arial" w:hAnsi="Arial"/>
          <w:color w:val="000000"/>
          <w:szCs w:val="20"/>
        </w:rPr>
      </w:pPr>
    </w:p>
    <w:p w14:paraId="51DE98AD" w14:textId="704D7985" w:rsidR="009E6D99" w:rsidRPr="00721C2F" w:rsidRDefault="007A1175" w:rsidP="00721C2F">
      <w:pPr>
        <w:pStyle w:val="Normlnweb"/>
        <w:spacing w:beforeAutospacing="0" w:afterAutospacing="0"/>
        <w:rPr>
          <w:rFonts w:ascii="Arial" w:hAnsi="Arial" w:cs="Arial"/>
          <w:sz w:val="20"/>
          <w:szCs w:val="20"/>
        </w:rPr>
      </w:pPr>
      <w:r w:rsidRPr="00204231">
        <w:rPr>
          <w:rFonts w:ascii="Arial" w:hAnsi="Arial" w:cs="Arial"/>
          <w:b/>
          <w:color w:val="000000"/>
          <w:sz w:val="20"/>
          <w:szCs w:val="20"/>
        </w:rPr>
        <w:t>Hashtag</w:t>
      </w:r>
      <w:r>
        <w:rPr>
          <w:rFonts w:ascii="Arial" w:hAnsi="Arial" w:cs="Arial"/>
          <w:b/>
          <w:color w:val="000000"/>
          <w:sz w:val="20"/>
          <w:szCs w:val="20"/>
        </w:rPr>
        <w:t>y</w:t>
      </w:r>
      <w:r w:rsidRPr="00204231">
        <w:rPr>
          <w:rFonts w:ascii="Arial" w:hAnsi="Arial" w:cs="Arial"/>
          <w:b/>
          <w:sz w:val="20"/>
          <w:szCs w:val="20"/>
        </w:rPr>
        <w:t xml:space="preserve">: </w:t>
      </w:r>
      <w:r w:rsidR="00E96DBF" w:rsidRPr="00E96DBF">
        <w:rPr>
          <w:rFonts w:ascii="Arial" w:hAnsi="Arial" w:cs="Arial"/>
          <w:bCs/>
          <w:sz w:val="20"/>
          <w:szCs w:val="20"/>
        </w:rPr>
        <w:t>#PressRelease #Business/Function #Market/Segment #News/Event</w:t>
      </w:r>
    </w:p>
    <w:sectPr w:rsidR="009E6D99" w:rsidRPr="00721C2F">
      <w:headerReference w:type="default" r:id="rId30"/>
      <w:footerReference w:type="default" r:id="rId31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6ECCA" w14:textId="77777777" w:rsidR="00ED6CD3" w:rsidRDefault="00ED6CD3">
      <w:r>
        <w:separator/>
      </w:r>
    </w:p>
  </w:endnote>
  <w:endnote w:type="continuationSeparator" w:id="0">
    <w:p w14:paraId="3C8030B3" w14:textId="77777777" w:rsidR="00ED6CD3" w:rsidRDefault="00ED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ArialRoundedMTStd-Light">
    <w:altName w:val="Times New Roman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4D0FAFF1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751675A6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8C33E" w14:textId="77777777" w:rsidR="00ED6CD3" w:rsidRDefault="00ED6CD3">
      <w:r>
        <w:separator/>
      </w:r>
    </w:p>
  </w:footnote>
  <w:footnote w:type="continuationSeparator" w:id="0">
    <w:p w14:paraId="3E5584A2" w14:textId="77777777" w:rsidR="00ED6CD3" w:rsidRDefault="00ED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287FB1"/>
    <w:multiLevelType w:val="multilevel"/>
    <w:tmpl w:val="0F8496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975467">
    <w:abstractNumId w:val="2"/>
  </w:num>
  <w:num w:numId="2" w16cid:durableId="545800044">
    <w:abstractNumId w:val="4"/>
  </w:num>
  <w:num w:numId="3" w16cid:durableId="558251186">
    <w:abstractNumId w:val="1"/>
  </w:num>
  <w:num w:numId="4" w16cid:durableId="650599482">
    <w:abstractNumId w:val="0"/>
  </w:num>
  <w:num w:numId="5" w16cid:durableId="1428695017">
    <w:abstractNumId w:val="5"/>
  </w:num>
  <w:num w:numId="6" w16cid:durableId="9652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46880"/>
    <w:rsid w:val="00060DA9"/>
    <w:rsid w:val="00072731"/>
    <w:rsid w:val="000B4C41"/>
    <w:rsid w:val="000C1172"/>
    <w:rsid w:val="000C405E"/>
    <w:rsid w:val="000C5FF7"/>
    <w:rsid w:val="00122B61"/>
    <w:rsid w:val="0012361A"/>
    <w:rsid w:val="001243AF"/>
    <w:rsid w:val="0015160E"/>
    <w:rsid w:val="00155413"/>
    <w:rsid w:val="0017349A"/>
    <w:rsid w:val="00185DCF"/>
    <w:rsid w:val="00187561"/>
    <w:rsid w:val="00187CE7"/>
    <w:rsid w:val="00190BE7"/>
    <w:rsid w:val="001A49DF"/>
    <w:rsid w:val="001C39B2"/>
    <w:rsid w:val="001C50D4"/>
    <w:rsid w:val="001C5D17"/>
    <w:rsid w:val="001D4419"/>
    <w:rsid w:val="001F3E1F"/>
    <w:rsid w:val="00203239"/>
    <w:rsid w:val="002109DB"/>
    <w:rsid w:val="00214696"/>
    <w:rsid w:val="00221A80"/>
    <w:rsid w:val="00226F2B"/>
    <w:rsid w:val="00245CC3"/>
    <w:rsid w:val="002542A6"/>
    <w:rsid w:val="00290B64"/>
    <w:rsid w:val="002E257F"/>
    <w:rsid w:val="003025A0"/>
    <w:rsid w:val="00305C77"/>
    <w:rsid w:val="003224F6"/>
    <w:rsid w:val="00322EB0"/>
    <w:rsid w:val="00345257"/>
    <w:rsid w:val="003456E8"/>
    <w:rsid w:val="0037001A"/>
    <w:rsid w:val="00370A8C"/>
    <w:rsid w:val="00396F2B"/>
    <w:rsid w:val="003B1518"/>
    <w:rsid w:val="003C6DD9"/>
    <w:rsid w:val="003E7428"/>
    <w:rsid w:val="00405D87"/>
    <w:rsid w:val="00426239"/>
    <w:rsid w:val="00434337"/>
    <w:rsid w:val="00454AF8"/>
    <w:rsid w:val="004810C9"/>
    <w:rsid w:val="004A313A"/>
    <w:rsid w:val="004B3611"/>
    <w:rsid w:val="004C0C69"/>
    <w:rsid w:val="004D3DAA"/>
    <w:rsid w:val="00512488"/>
    <w:rsid w:val="00521847"/>
    <w:rsid w:val="00523BD8"/>
    <w:rsid w:val="00533119"/>
    <w:rsid w:val="005451D7"/>
    <w:rsid w:val="00571514"/>
    <w:rsid w:val="005A01CC"/>
    <w:rsid w:val="005B0A5E"/>
    <w:rsid w:val="005E76E2"/>
    <w:rsid w:val="00621104"/>
    <w:rsid w:val="006303E4"/>
    <w:rsid w:val="00634E1C"/>
    <w:rsid w:val="006737A7"/>
    <w:rsid w:val="00685EBC"/>
    <w:rsid w:val="00691288"/>
    <w:rsid w:val="006935C2"/>
    <w:rsid w:val="006B0459"/>
    <w:rsid w:val="006C2818"/>
    <w:rsid w:val="006D35F6"/>
    <w:rsid w:val="006D49D3"/>
    <w:rsid w:val="007018AF"/>
    <w:rsid w:val="0070637B"/>
    <w:rsid w:val="007202A0"/>
    <w:rsid w:val="00721C2F"/>
    <w:rsid w:val="00740999"/>
    <w:rsid w:val="00762CCA"/>
    <w:rsid w:val="00792D50"/>
    <w:rsid w:val="007A1175"/>
    <w:rsid w:val="007B37C4"/>
    <w:rsid w:val="007E1277"/>
    <w:rsid w:val="007F2660"/>
    <w:rsid w:val="007F297D"/>
    <w:rsid w:val="00800113"/>
    <w:rsid w:val="00805C1D"/>
    <w:rsid w:val="00807535"/>
    <w:rsid w:val="00830B6A"/>
    <w:rsid w:val="00842645"/>
    <w:rsid w:val="00860E1D"/>
    <w:rsid w:val="008810AC"/>
    <w:rsid w:val="00886F2A"/>
    <w:rsid w:val="0089766F"/>
    <w:rsid w:val="008A017F"/>
    <w:rsid w:val="008A3D47"/>
    <w:rsid w:val="008B7895"/>
    <w:rsid w:val="008C795F"/>
    <w:rsid w:val="008D2290"/>
    <w:rsid w:val="008D2324"/>
    <w:rsid w:val="0091132F"/>
    <w:rsid w:val="009135F7"/>
    <w:rsid w:val="00942E09"/>
    <w:rsid w:val="009464CF"/>
    <w:rsid w:val="00965504"/>
    <w:rsid w:val="009805A6"/>
    <w:rsid w:val="00984C4B"/>
    <w:rsid w:val="009957EC"/>
    <w:rsid w:val="009E5CD4"/>
    <w:rsid w:val="009E6D99"/>
    <w:rsid w:val="009F31F1"/>
    <w:rsid w:val="009F67DE"/>
    <w:rsid w:val="00A35B6A"/>
    <w:rsid w:val="00A442E7"/>
    <w:rsid w:val="00A75F21"/>
    <w:rsid w:val="00A76ED2"/>
    <w:rsid w:val="00AC4A9E"/>
    <w:rsid w:val="00AE2E17"/>
    <w:rsid w:val="00AE6BCF"/>
    <w:rsid w:val="00B30AB0"/>
    <w:rsid w:val="00B67324"/>
    <w:rsid w:val="00BC01E2"/>
    <w:rsid w:val="00BF4DE0"/>
    <w:rsid w:val="00C01B81"/>
    <w:rsid w:val="00C47389"/>
    <w:rsid w:val="00C658AF"/>
    <w:rsid w:val="00C73DE1"/>
    <w:rsid w:val="00C80B46"/>
    <w:rsid w:val="00CA3EBF"/>
    <w:rsid w:val="00CA47B9"/>
    <w:rsid w:val="00CA707C"/>
    <w:rsid w:val="00CC0701"/>
    <w:rsid w:val="00CC1A16"/>
    <w:rsid w:val="00CC3B25"/>
    <w:rsid w:val="00CE01CA"/>
    <w:rsid w:val="00CF55C6"/>
    <w:rsid w:val="00D06C18"/>
    <w:rsid w:val="00D14AE0"/>
    <w:rsid w:val="00D15AB3"/>
    <w:rsid w:val="00D234F6"/>
    <w:rsid w:val="00D2698D"/>
    <w:rsid w:val="00D311E0"/>
    <w:rsid w:val="00D40DD0"/>
    <w:rsid w:val="00D434C2"/>
    <w:rsid w:val="00D6435F"/>
    <w:rsid w:val="00DC26BF"/>
    <w:rsid w:val="00DC5CA1"/>
    <w:rsid w:val="00DE16AF"/>
    <w:rsid w:val="00E17F89"/>
    <w:rsid w:val="00E44E8F"/>
    <w:rsid w:val="00E52A64"/>
    <w:rsid w:val="00E73ED3"/>
    <w:rsid w:val="00E73F4D"/>
    <w:rsid w:val="00E802B8"/>
    <w:rsid w:val="00E82E0E"/>
    <w:rsid w:val="00E96DBF"/>
    <w:rsid w:val="00EA1E97"/>
    <w:rsid w:val="00EB3965"/>
    <w:rsid w:val="00ED2C2A"/>
    <w:rsid w:val="00ED4862"/>
    <w:rsid w:val="00ED6CD3"/>
    <w:rsid w:val="00EE5F67"/>
    <w:rsid w:val="00EF6B6A"/>
    <w:rsid w:val="00F16DD7"/>
    <w:rsid w:val="00F26D65"/>
    <w:rsid w:val="00F34ED2"/>
    <w:rsid w:val="00F364E8"/>
    <w:rsid w:val="00F64012"/>
    <w:rsid w:val="00F66CEE"/>
    <w:rsid w:val="00F67F7B"/>
    <w:rsid w:val="00F7490C"/>
    <w:rsid w:val="00F82B94"/>
    <w:rsid w:val="00F83315"/>
    <w:rsid w:val="00F917E0"/>
    <w:rsid w:val="00F93FAA"/>
    <w:rsid w:val="00FB2A8E"/>
    <w:rsid w:val="00FB6729"/>
    <w:rsid w:val="26B8E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s1">
    <w:name w:val="gmail-s1"/>
    <w:basedOn w:val="Standardnpsmoodstavce"/>
    <w:rsid w:val="00C8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ww/en/download/document/SPD_WP110_EN/?=1" TargetMode="External"/><Relationship Id="rId18" Type="http://schemas.openxmlformats.org/officeDocument/2006/relationships/hyperlink" Target="https://twitter.com/SchneiderElec" TargetMode="External"/><Relationship Id="rId26" Type="http://schemas.openxmlformats.org/officeDocument/2006/relationships/hyperlink" Target="https://www.instagram.com/schneiderelectric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https://www.se.com/ww/en/download/document/SPD_WP110_EN/?=1" TargetMode="External"/><Relationship Id="rId17" Type="http://schemas.openxmlformats.org/officeDocument/2006/relationships/image" Target="media/image1.wmf"/><Relationship Id="rId25" Type="http://schemas.openxmlformats.org/officeDocument/2006/relationships/image" Target="media/image5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ww/en/work/campaign/life-is-on/life-is-on.jsp" TargetMode="External"/><Relationship Id="rId20" Type="http://schemas.openxmlformats.org/officeDocument/2006/relationships/hyperlink" Target="https://www.facebook.com/SchneiderElectricCZ/?brand_redir=597372713700290" TargetMode="Externa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ww/en/download/document/SPD_WP110_EN/?=1" TargetMode="External"/><Relationship Id="rId24" Type="http://schemas.openxmlformats.org/officeDocument/2006/relationships/hyperlink" Target="https://www.youtube.com/@SchneiderElectricCZ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" TargetMode="External"/><Relationship Id="rId23" Type="http://schemas.openxmlformats.org/officeDocument/2006/relationships/image" Target="media/image4.png"/><Relationship Id="rId28" Type="http://schemas.openxmlformats.org/officeDocument/2006/relationships/hyperlink" Target="http://blog.schneider-electric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us/en/work/solutions/for-business/data-centers-and-networks/" TargetMode="External"/><Relationship Id="rId22" Type="http://schemas.openxmlformats.org/officeDocument/2006/relationships/hyperlink" Target="https://www.linkedin.com/company/schneider-electric" TargetMode="External"/><Relationship Id="rId27" Type="http://schemas.openxmlformats.org/officeDocument/2006/relationships/image" Target="media/image6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7" ma:contentTypeDescription="Vytvoří nový dokument" ma:contentTypeScope="" ma:versionID="76fcb9d83123c0f0012259b1857bc05c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cf00371a7325d97bbc589a1c702091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4.xml><?xml version="1.0" encoding="utf-8"?>
<ds:datastoreItem xmlns:ds="http://schemas.openxmlformats.org/officeDocument/2006/customXml" ds:itemID="{143046D7-8580-406F-AA62-F20F45C7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1003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8</cp:revision>
  <cp:lastPrinted>2023-09-12T13:06:00Z</cp:lastPrinted>
  <dcterms:created xsi:type="dcterms:W3CDTF">2023-10-03T10:09:00Z</dcterms:created>
  <dcterms:modified xsi:type="dcterms:W3CDTF">2023-10-31T11:45:00Z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